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3C7D" w14:textId="4646F74C" w:rsidR="007B14B2" w:rsidRPr="00F0682B" w:rsidRDefault="00C62421">
      <w:pPr>
        <w:rPr>
          <w:rFonts w:ascii="Cambria" w:hAnsi="Cambria"/>
          <w:b/>
        </w:rPr>
      </w:pPr>
      <w:r w:rsidRPr="00F0682B">
        <w:rPr>
          <w:rFonts w:ascii="Cambria" w:hAnsi="Cambria"/>
          <w:b/>
        </w:rPr>
        <w:t>Notes for</w:t>
      </w:r>
      <w:r w:rsidR="00444646" w:rsidRPr="00F0682B">
        <w:rPr>
          <w:rFonts w:ascii="Cambria" w:hAnsi="Cambria"/>
          <w:b/>
        </w:rPr>
        <w:t xml:space="preserve"> </w:t>
      </w:r>
      <w:r w:rsidR="0009253E">
        <w:rPr>
          <w:rFonts w:ascii="Cambria" w:hAnsi="Cambria"/>
          <w:b/>
        </w:rPr>
        <w:t>Monday, April 20</w:t>
      </w:r>
    </w:p>
    <w:p w14:paraId="75E42029" w14:textId="77777777" w:rsidR="007B27E0" w:rsidRPr="00F0682B" w:rsidRDefault="007B27E0" w:rsidP="00F126DD">
      <w:pPr>
        <w:rPr>
          <w:rFonts w:ascii="Cambria" w:hAnsi="Cambria"/>
          <w:i/>
        </w:rPr>
      </w:pPr>
    </w:p>
    <w:p w14:paraId="077F606F" w14:textId="0B73D480" w:rsidR="0002754A" w:rsidRPr="0002754A" w:rsidRDefault="001C0441" w:rsidP="00D64E23">
      <w:pPr>
        <w:rPr>
          <w:rFonts w:ascii="Cambria" w:hAnsi="Cambria"/>
          <w:i/>
        </w:rPr>
      </w:pPr>
      <w:r>
        <w:rPr>
          <w:rFonts w:ascii="Cambria" w:hAnsi="Cambria"/>
          <w:i/>
        </w:rPr>
        <w:t>[</w:t>
      </w:r>
      <w:r w:rsidR="0002754A" w:rsidRPr="001C0441">
        <w:rPr>
          <w:rFonts w:ascii="Cambria" w:hAnsi="Cambria"/>
          <w:i/>
        </w:rPr>
        <w:t xml:space="preserve">The following comes from </w:t>
      </w:r>
      <w:r w:rsidR="0002754A" w:rsidRPr="001C0441">
        <w:rPr>
          <w:rFonts w:ascii="Cambria" w:hAnsi="Cambria"/>
          <w:iCs/>
        </w:rPr>
        <w:t>The Copyeditor’s Handbook</w:t>
      </w:r>
      <w:r w:rsidR="0002754A">
        <w:rPr>
          <w:rFonts w:ascii="Cambria" w:hAnsi="Cambria"/>
          <w:i/>
        </w:rPr>
        <w:t xml:space="preserve">, pages </w:t>
      </w:r>
      <w:r>
        <w:rPr>
          <w:rFonts w:ascii="Cambria" w:hAnsi="Cambria"/>
          <w:i/>
        </w:rPr>
        <w:t>31-32.]</w:t>
      </w:r>
    </w:p>
    <w:p w14:paraId="5BDB1093" w14:textId="77777777" w:rsidR="0002754A" w:rsidRDefault="0002754A" w:rsidP="00D64E23">
      <w:pPr>
        <w:rPr>
          <w:rFonts w:ascii="Cambria" w:hAnsi="Cambria"/>
          <w:iCs/>
        </w:rPr>
      </w:pPr>
    </w:p>
    <w:p w14:paraId="5A7EA907" w14:textId="77777777" w:rsidR="001C0441" w:rsidRDefault="001C0441" w:rsidP="00D64E23">
      <w:pPr>
        <w:rPr>
          <w:rFonts w:ascii="Cambria" w:hAnsi="Cambria"/>
          <w:iCs/>
        </w:rPr>
      </w:pPr>
      <w:r w:rsidRPr="001C0441">
        <w:rPr>
          <w:rFonts w:ascii="Cambria" w:hAnsi="Cambria"/>
          <w:iCs/>
        </w:rPr>
        <w:t>Let’s follow Kate as she copyedits this passage. A</w:t>
      </w:r>
      <w:r w:rsidRPr="001C0441">
        <w:rPr>
          <w:rFonts w:ascii="Times New Roman" w:hAnsi="Times New Roman" w:cs="Times New Roman"/>
          <w:iCs/>
        </w:rPr>
        <w:t>ﬅ</w:t>
      </w:r>
      <w:r w:rsidRPr="001C0441">
        <w:rPr>
          <w:rFonts w:ascii="Cambria" w:hAnsi="Cambria"/>
          <w:iCs/>
        </w:rPr>
        <w:t xml:space="preserve">er skimming the entire manu- script, she carefully reads the ﬁrst sentence: </w:t>
      </w:r>
    </w:p>
    <w:p w14:paraId="27E8303D" w14:textId="77777777" w:rsidR="001C0441" w:rsidRDefault="001C0441" w:rsidP="00D64E23">
      <w:pPr>
        <w:rPr>
          <w:rFonts w:ascii="Cambria" w:hAnsi="Cambria"/>
          <w:iCs/>
        </w:rPr>
      </w:pPr>
    </w:p>
    <w:p w14:paraId="44931DA8" w14:textId="77777777" w:rsidR="001C0441" w:rsidRDefault="001C0441" w:rsidP="00D64E23">
      <w:pPr>
        <w:rPr>
          <w:rFonts w:ascii="Cambria" w:hAnsi="Cambria"/>
          <w:iCs/>
        </w:rPr>
      </w:pPr>
      <w:r w:rsidRPr="001C0441">
        <w:rPr>
          <w:rFonts w:ascii="Cambria" w:hAnsi="Cambria"/>
          <w:iCs/>
        </w:rPr>
        <w:t xml:space="preserve">Murphy’s Law assures us that no amount of proofreading will uncover all the errors in a work about to be published. </w:t>
      </w:r>
    </w:p>
    <w:p w14:paraId="353D1F21" w14:textId="77777777" w:rsidR="001C0441" w:rsidRDefault="001C0441" w:rsidP="00D64E23">
      <w:pPr>
        <w:rPr>
          <w:rFonts w:ascii="Cambria" w:hAnsi="Cambria"/>
          <w:iCs/>
        </w:rPr>
      </w:pPr>
    </w:p>
    <w:p w14:paraId="24045CE9" w14:textId="77777777" w:rsidR="001C0441" w:rsidRDefault="001C0441" w:rsidP="00D64E23">
      <w:pPr>
        <w:rPr>
          <w:rFonts w:ascii="Cambria" w:hAnsi="Cambria"/>
          <w:iCs/>
        </w:rPr>
      </w:pPr>
      <w:r w:rsidRPr="001C0441">
        <w:rPr>
          <w:rFonts w:ascii="Cambria" w:hAnsi="Cambria"/>
          <w:iCs/>
        </w:rPr>
        <w:t>Kate is unfamiliar with the term “Murphy’s Law,” so she looks it up in the dictionary and ascertains that the usage is appropriate and that the spelling and capitalization are correct. (She incidentally discovers the existence of a corollary that she ﬁles away in her memory for possible future use: Muphry’s Law, which holds that if you write something criticizing another’s editing or proofreading, there will be an error of some kind in what you have written.) Kate wonders whether “assure” (not “ensure” or “insure”?) is the cor- rect word choice and decides that it is a</w:t>
      </w:r>
      <w:r w:rsidRPr="001C0441">
        <w:rPr>
          <w:rFonts w:ascii="Times New Roman" w:hAnsi="Times New Roman" w:cs="Times New Roman"/>
          <w:iCs/>
        </w:rPr>
        <w:t>ﬅ</w:t>
      </w:r>
      <w:r w:rsidRPr="001C0441">
        <w:rPr>
          <w:rFonts w:ascii="Cambria" w:hAnsi="Cambria"/>
          <w:iCs/>
        </w:rPr>
        <w:t xml:space="preserve">er checking these related terms in DEU. She detects no mechanical errors in this sentence and makes no changes to it. </w:t>
      </w:r>
    </w:p>
    <w:p w14:paraId="353D5E7B" w14:textId="77777777" w:rsidR="001C0441" w:rsidRDefault="001C0441" w:rsidP="00D64E23">
      <w:pPr>
        <w:rPr>
          <w:rFonts w:ascii="Cambria" w:hAnsi="Cambria"/>
          <w:iCs/>
        </w:rPr>
      </w:pPr>
    </w:p>
    <w:p w14:paraId="7B707B16" w14:textId="77777777" w:rsidR="001C0441" w:rsidRDefault="001C0441" w:rsidP="00D64E23">
      <w:pPr>
        <w:rPr>
          <w:rFonts w:ascii="Cambria" w:hAnsi="Cambria"/>
          <w:iCs/>
        </w:rPr>
      </w:pPr>
      <w:r w:rsidRPr="001C0441">
        <w:rPr>
          <w:rFonts w:ascii="Cambria" w:hAnsi="Cambria"/>
          <w:iCs/>
        </w:rPr>
        <w:t xml:space="preserve">Kate moves on to the second sentence: </w:t>
      </w:r>
    </w:p>
    <w:p w14:paraId="12F5068B" w14:textId="77777777" w:rsidR="001C0441" w:rsidRDefault="001C0441" w:rsidP="00D64E23">
      <w:pPr>
        <w:rPr>
          <w:rFonts w:ascii="Cambria" w:hAnsi="Cambria"/>
          <w:iCs/>
        </w:rPr>
      </w:pPr>
    </w:p>
    <w:p w14:paraId="301AD438" w14:textId="77777777" w:rsidR="001C0441" w:rsidRDefault="001C0441" w:rsidP="00D64E23">
      <w:pPr>
        <w:rPr>
          <w:rFonts w:ascii="Cambria" w:hAnsi="Cambria"/>
          <w:iCs/>
        </w:rPr>
      </w:pPr>
      <w:r>
        <w:rPr>
          <w:rFonts w:ascii="Cambria" w:hAnsi="Cambria"/>
          <w:iCs/>
        </w:rPr>
        <w:t>Th</w:t>
      </w:r>
      <w:r w:rsidRPr="001C0441">
        <w:rPr>
          <w:rFonts w:ascii="Cambria" w:hAnsi="Cambria"/>
          <w:iCs/>
        </w:rPr>
        <w:t>e question is, how many re</w:t>
      </w:r>
      <w:r>
        <w:rPr>
          <w:rFonts w:ascii="Cambria" w:hAnsi="Cambria"/>
          <w:iCs/>
        </w:rPr>
        <w:t xml:space="preserve">-readings are reasonable? </w:t>
      </w:r>
    </w:p>
    <w:p w14:paraId="54EAC0E8" w14:textId="77777777" w:rsidR="001C0441" w:rsidRDefault="001C0441" w:rsidP="00D64E23">
      <w:pPr>
        <w:rPr>
          <w:rFonts w:ascii="Cambria" w:hAnsi="Cambria"/>
          <w:iCs/>
        </w:rPr>
      </w:pPr>
    </w:p>
    <w:p w14:paraId="2E1839E7" w14:textId="104C29C2" w:rsidR="0002754A" w:rsidRDefault="0002754A" w:rsidP="00D64E23">
      <w:pPr>
        <w:rPr>
          <w:rFonts w:ascii="Cambria" w:hAnsi="Cambria"/>
          <w:iCs/>
        </w:rPr>
      </w:pPr>
      <w:r w:rsidRPr="0002754A">
        <w:rPr>
          <w:rFonts w:ascii="Cambria" w:hAnsi="Cambria"/>
          <w:iCs/>
        </w:rPr>
        <w:t>Uncertain about how to treat a question (“how many re-readings are reasonable?”) embedded in a sentence, she picks up the newest edition of Chicago (or logs into the online version), goes to the index, and looks under “questions: within sentences.” </w:t>
      </w:r>
      <w:r>
        <w:rPr>
          <w:rFonts w:ascii="Cambria" w:hAnsi="Cambria"/>
          <w:iCs/>
        </w:rPr>
        <w:t>Th</w:t>
      </w:r>
      <w:r w:rsidRPr="0002754A">
        <w:rPr>
          <w:rFonts w:ascii="Cambria" w:hAnsi="Cambria"/>
          <w:iCs/>
        </w:rPr>
        <w:t xml:space="preserve">e search leads her to a discussion and examples (at 6.42) that match the syntax of the sen- tence in the manuscript. She decides to apply the following conventions: </w:t>
      </w:r>
    </w:p>
    <w:p w14:paraId="1F8B12E7" w14:textId="77777777" w:rsidR="0002754A" w:rsidRDefault="0002754A" w:rsidP="00D64E23">
      <w:pPr>
        <w:rPr>
          <w:rFonts w:ascii="Cambria" w:hAnsi="Cambria"/>
          <w:iCs/>
        </w:rPr>
      </w:pPr>
    </w:p>
    <w:p w14:paraId="630F1DDB" w14:textId="77777777" w:rsidR="0002754A" w:rsidRDefault="0002754A" w:rsidP="00D64E23">
      <w:pPr>
        <w:rPr>
          <w:rFonts w:ascii="Cambria" w:hAnsi="Cambria"/>
          <w:iCs/>
        </w:rPr>
      </w:pPr>
      <w:r w:rsidRPr="0002754A">
        <w:rPr>
          <w:rFonts w:ascii="Cambria" w:hAnsi="Cambria"/>
          <w:iCs/>
        </w:rPr>
        <w:t>1. </w:t>
      </w:r>
      <w:r>
        <w:rPr>
          <w:rFonts w:ascii="Cambria" w:hAnsi="Cambria"/>
          <w:iCs/>
        </w:rPr>
        <w:t>Th</w:t>
      </w:r>
      <w:r w:rsidRPr="0002754A">
        <w:rPr>
          <w:rFonts w:ascii="Cambria" w:hAnsi="Cambria"/>
          <w:iCs/>
        </w:rPr>
        <w:t>e embedded question should be preceded by a comma. 2. </w:t>
      </w:r>
      <w:r>
        <w:rPr>
          <w:rFonts w:ascii="Cambria" w:hAnsi="Cambria"/>
          <w:iCs/>
        </w:rPr>
        <w:t>Th</w:t>
      </w:r>
      <w:r w:rsidRPr="0002754A">
        <w:rPr>
          <w:rFonts w:ascii="Cambria" w:hAnsi="Cambria"/>
          <w:iCs/>
        </w:rPr>
        <w:t>e ﬁrst word of the embedded question should be capitalized, by analogy with a direct quotation; Chicago describes this recommendation as a “slight departure from earlier editions of the manual.” 3. </w:t>
      </w:r>
      <w:r>
        <w:rPr>
          <w:rFonts w:ascii="Cambria" w:hAnsi="Cambria"/>
          <w:iCs/>
        </w:rPr>
        <w:t>Th</w:t>
      </w:r>
      <w:r w:rsidRPr="0002754A">
        <w:rPr>
          <w:rFonts w:ascii="Cambria" w:hAnsi="Cambria"/>
          <w:iCs/>
        </w:rPr>
        <w:t>e question should not be in quotation marks because it is not a piece of dialogue. 4. </w:t>
      </w:r>
      <w:r>
        <w:rPr>
          <w:rFonts w:ascii="Cambria" w:hAnsi="Cambria"/>
          <w:iCs/>
        </w:rPr>
        <w:t>Th</w:t>
      </w:r>
      <w:r w:rsidRPr="0002754A">
        <w:rPr>
          <w:rFonts w:ascii="Cambria" w:hAnsi="Cambria"/>
          <w:iCs/>
        </w:rPr>
        <w:t xml:space="preserve">e question should end with a question mark because it is a direct question. </w:t>
      </w:r>
    </w:p>
    <w:p w14:paraId="3EDAB37E" w14:textId="77777777" w:rsidR="0002754A" w:rsidRDefault="0002754A" w:rsidP="00D64E23">
      <w:pPr>
        <w:rPr>
          <w:rFonts w:ascii="Cambria" w:hAnsi="Cambria"/>
          <w:iCs/>
        </w:rPr>
      </w:pPr>
    </w:p>
    <w:p w14:paraId="58E161EA" w14:textId="34125885" w:rsidR="0002754A" w:rsidRDefault="0002754A" w:rsidP="00D64E23">
      <w:pPr>
        <w:rPr>
          <w:rFonts w:ascii="Cambria" w:hAnsi="Cambria"/>
          <w:iCs/>
        </w:rPr>
      </w:pPr>
      <w:r>
        <w:rPr>
          <w:rFonts w:ascii="Cambria" w:hAnsi="Cambria"/>
          <w:iCs/>
        </w:rPr>
        <w:t>Th</w:t>
      </w:r>
      <w:r w:rsidRPr="0002754A">
        <w:rPr>
          <w:rFonts w:ascii="Cambria" w:hAnsi="Cambria"/>
          <w:iCs/>
        </w:rPr>
        <w:t xml:space="preserve">e author has followed all these conventions except for treatment of “how,” the ﬁrst word of the question, which Kate capitalizes. </w:t>
      </w:r>
    </w:p>
    <w:p w14:paraId="293ECF54" w14:textId="77777777" w:rsidR="0002754A" w:rsidRDefault="0002754A" w:rsidP="00D64E23">
      <w:pPr>
        <w:rPr>
          <w:rFonts w:ascii="Cambria" w:hAnsi="Cambria"/>
          <w:iCs/>
        </w:rPr>
      </w:pPr>
    </w:p>
    <w:p w14:paraId="5D02758D" w14:textId="77777777" w:rsidR="0002754A" w:rsidRDefault="0002754A" w:rsidP="00D64E23">
      <w:pPr>
        <w:rPr>
          <w:rFonts w:ascii="Cambria" w:hAnsi="Cambria"/>
          <w:iCs/>
        </w:rPr>
      </w:pPr>
      <w:r w:rsidRPr="0002754A">
        <w:rPr>
          <w:rFonts w:ascii="Cambria" w:hAnsi="Cambria"/>
          <w:iCs/>
        </w:rPr>
        <w:t>She next wonders whether to keep or delete the hyphen in “re-readings.” She knows that for words beginning with preﬁxes, both Chicago and M-W Collegiate usually prefer</w:t>
      </w:r>
      <w:r>
        <w:rPr>
          <w:rFonts w:ascii="Cambria" w:hAnsi="Cambria"/>
          <w:iCs/>
        </w:rPr>
        <w:t xml:space="preserve"> </w:t>
      </w:r>
      <w:r w:rsidRPr="0002754A">
        <w:rPr>
          <w:rFonts w:ascii="Cambria" w:hAnsi="Cambria"/>
          <w:iCs/>
        </w:rPr>
        <w:t>the closed forms: redo, prenatal, postwar, and so on. But Chicago recommends using a hyphen if the absence of one might cause confusion or misreading: re-cover (as opposed to recover), co-op, and pro-choice. </w:t>
      </w:r>
      <w:proofErr w:type="gramStart"/>
      <w:r w:rsidRPr="0002754A">
        <w:rPr>
          <w:rFonts w:ascii="Cambria" w:hAnsi="Cambria"/>
          <w:iCs/>
        </w:rPr>
        <w:t>So</w:t>
      </w:r>
      <w:proofErr w:type="gramEnd"/>
      <w:r w:rsidRPr="0002754A">
        <w:rPr>
          <w:rFonts w:ascii="Cambria" w:hAnsi="Cambria"/>
          <w:iCs/>
        </w:rPr>
        <w:t xml:space="preserve"> the question is, Will “rereadings” be confusing? She thinks not and decides to delete the hyphen. </w:t>
      </w:r>
    </w:p>
    <w:p w14:paraId="259ED07A" w14:textId="77777777" w:rsidR="0002754A" w:rsidRDefault="0002754A" w:rsidP="00D64E23">
      <w:pPr>
        <w:rPr>
          <w:rFonts w:ascii="Cambria" w:hAnsi="Cambria"/>
          <w:iCs/>
        </w:rPr>
      </w:pPr>
    </w:p>
    <w:p w14:paraId="6D0D19FE" w14:textId="77777777" w:rsidR="0002754A" w:rsidRDefault="0002754A" w:rsidP="00D64E23">
      <w:pPr>
        <w:rPr>
          <w:rFonts w:ascii="Cambria" w:hAnsi="Cambria"/>
          <w:iCs/>
        </w:rPr>
      </w:pPr>
      <w:r w:rsidRPr="0002754A">
        <w:rPr>
          <w:rFonts w:ascii="Cambria" w:hAnsi="Cambria"/>
          <w:iCs/>
        </w:rPr>
        <w:lastRenderedPageBreak/>
        <w:t>Kate now scrutinizes the third sentence:</w:t>
      </w:r>
    </w:p>
    <w:p w14:paraId="7F65721F" w14:textId="77777777" w:rsidR="0002754A" w:rsidRDefault="0002754A" w:rsidP="00D64E23">
      <w:pPr>
        <w:rPr>
          <w:rFonts w:ascii="Cambria" w:hAnsi="Cambria"/>
          <w:iCs/>
        </w:rPr>
      </w:pPr>
    </w:p>
    <w:p w14:paraId="231C6B38" w14:textId="77777777" w:rsidR="0002754A" w:rsidRDefault="0002754A" w:rsidP="00D64E23">
      <w:pPr>
        <w:rPr>
          <w:rFonts w:ascii="Cambria" w:hAnsi="Cambria"/>
          <w:iCs/>
        </w:rPr>
      </w:pPr>
      <w:r w:rsidRPr="0002754A">
        <w:rPr>
          <w:rFonts w:ascii="Cambria" w:hAnsi="Cambria"/>
          <w:iCs/>
        </w:rPr>
        <w:t>In my personal experience I have found that two readings of galleys and two</w:t>
      </w:r>
      <w:r>
        <w:rPr>
          <w:rFonts w:ascii="Cambria" w:hAnsi="Cambria"/>
          <w:iCs/>
        </w:rPr>
        <w:t xml:space="preserve"> of page proofs </w:t>
      </w:r>
      <w:r w:rsidRPr="0002754A">
        <w:rPr>
          <w:rFonts w:ascii="Cambria" w:hAnsi="Cambria"/>
          <w:iCs/>
        </w:rPr>
        <w:t>will catch 99 percent of the errors. She changes “personal” to “professional”</w:t>
      </w:r>
      <w:r>
        <w:rPr>
          <w:rFonts w:ascii="Cambria" w:hAnsi="Cambria"/>
          <w:iCs/>
        </w:rPr>
        <w:t xml:space="preserve">—because </w:t>
      </w:r>
      <w:r w:rsidRPr="0002754A">
        <w:rPr>
          <w:rFonts w:ascii="Cambria" w:hAnsi="Cambria"/>
          <w:iCs/>
        </w:rPr>
        <w:t>“personal experience” is a bit redundant (an individual’s experience is, by deﬁniti</w:t>
      </w:r>
      <w:r>
        <w:rPr>
          <w:rFonts w:ascii="Cambria" w:hAnsi="Cambria"/>
          <w:iCs/>
        </w:rPr>
        <w:t>o</w:t>
      </w:r>
      <w:r w:rsidRPr="0002754A">
        <w:rPr>
          <w:rFonts w:ascii="Cambria" w:hAnsi="Cambria"/>
          <w:iCs/>
        </w:rPr>
        <w:t>n</w:t>
      </w:r>
      <w:r>
        <w:rPr>
          <w:rFonts w:ascii="Cambria" w:hAnsi="Cambria"/>
          <w:iCs/>
        </w:rPr>
        <w:t>, “personal”)</w:t>
      </w:r>
      <w:r w:rsidRPr="0002754A">
        <w:rPr>
          <w:rFonts w:ascii="Cambria" w:hAnsi="Cambria"/>
          <w:iCs/>
        </w:rPr>
        <w:t> and, more important,</w:t>
      </w:r>
      <w:r>
        <w:rPr>
          <w:rFonts w:ascii="Cambria" w:hAnsi="Cambria"/>
          <w:iCs/>
        </w:rPr>
        <w:t xml:space="preserve"> because the power of the author’s observation comes from his </w:t>
      </w:r>
      <w:r w:rsidRPr="0002754A">
        <w:rPr>
          <w:rFonts w:ascii="Cambria" w:hAnsi="Cambria"/>
          <w:iCs/>
        </w:rPr>
        <w:t>professional expertise,</w:t>
      </w:r>
      <w:r>
        <w:rPr>
          <w:rFonts w:ascii="Cambria" w:hAnsi="Cambria"/>
          <w:iCs/>
        </w:rPr>
        <w:t xml:space="preserve"> not his personal life. She leaves “99 percent” because she remembers Chicago’s preference for using a numeral followed by “percent” (rather than the percentage sign, %) in nontechnical copy.</w:t>
      </w:r>
    </w:p>
    <w:p w14:paraId="3D4EA792" w14:textId="77777777" w:rsidR="0002754A" w:rsidRDefault="0002754A" w:rsidP="00D64E23">
      <w:pPr>
        <w:rPr>
          <w:rFonts w:ascii="Cambria" w:hAnsi="Cambria"/>
          <w:iCs/>
        </w:rPr>
      </w:pPr>
    </w:p>
    <w:p w14:paraId="6AD90164" w14:textId="77777777" w:rsidR="0002754A" w:rsidRDefault="0002754A" w:rsidP="00D64E23">
      <w:pPr>
        <w:rPr>
          <w:rFonts w:ascii="Cambria" w:hAnsi="Cambria"/>
          <w:iCs/>
        </w:rPr>
      </w:pPr>
      <w:r w:rsidRPr="0002754A">
        <w:rPr>
          <w:rFonts w:ascii="Cambria" w:hAnsi="Cambria"/>
          <w:iCs/>
        </w:rPr>
        <w:t xml:space="preserve">On to the fourth sentence: </w:t>
      </w:r>
    </w:p>
    <w:p w14:paraId="739C161E" w14:textId="77777777" w:rsidR="0002754A" w:rsidRDefault="0002754A" w:rsidP="00D64E23">
      <w:pPr>
        <w:rPr>
          <w:rFonts w:ascii="Cambria" w:hAnsi="Cambria"/>
          <w:iCs/>
        </w:rPr>
      </w:pPr>
    </w:p>
    <w:p w14:paraId="4C81A9C7" w14:textId="680B3780" w:rsidR="00D64E23" w:rsidRDefault="0002754A" w:rsidP="00D64E23">
      <w:pPr>
        <w:rPr>
          <w:rFonts w:ascii="Cambria" w:hAnsi="Cambria"/>
          <w:iCs/>
        </w:rPr>
      </w:pPr>
      <w:proofErr w:type="gramStart"/>
      <w:r w:rsidRPr="0002754A">
        <w:rPr>
          <w:rFonts w:ascii="Cambria" w:hAnsi="Cambria"/>
          <w:iCs/>
        </w:rPr>
        <w:t>Unfortunately</w:t>
      </w:r>
      <w:proofErr w:type="gramEnd"/>
      <w:r w:rsidRPr="0002754A">
        <w:rPr>
          <w:rFonts w:ascii="Cambria" w:hAnsi="Cambria"/>
          <w:iCs/>
        </w:rPr>
        <w:t> the remaining 1 percent are o</w:t>
      </w:r>
      <w:r w:rsidRPr="0002754A">
        <w:rPr>
          <w:rFonts w:ascii="Times New Roman" w:hAnsi="Times New Roman" w:cs="Times New Roman"/>
          <w:iCs/>
        </w:rPr>
        <w:t>ﬅ</w:t>
      </w:r>
      <w:r w:rsidRPr="0002754A">
        <w:rPr>
          <w:rFonts w:ascii="Cambria" w:hAnsi="Cambria"/>
          <w:iCs/>
        </w:rPr>
        <w:t xml:space="preserve">en the mistakes that not only </w:t>
      </w:r>
      <w:r>
        <w:rPr>
          <w:rFonts w:ascii="Cambria" w:hAnsi="Cambria"/>
          <w:iCs/>
        </w:rPr>
        <w:t>cause embarrassment but trouble.</w:t>
      </w:r>
    </w:p>
    <w:p w14:paraId="396FA59B" w14:textId="77777777" w:rsidR="0002754A" w:rsidRDefault="0002754A" w:rsidP="00D64E23">
      <w:pPr>
        <w:rPr>
          <w:rFonts w:ascii="Cambria" w:hAnsi="Cambria"/>
          <w:iCs/>
        </w:rPr>
      </w:pPr>
    </w:p>
    <w:p w14:paraId="6652FD2E" w14:textId="77777777" w:rsidR="0002754A" w:rsidRDefault="0002754A" w:rsidP="00D64E23">
      <w:pPr>
        <w:rPr>
          <w:rFonts w:ascii="Cambria" w:hAnsi="Cambria"/>
          <w:iCs/>
        </w:rPr>
      </w:pPr>
      <w:r w:rsidRPr="0002754A">
        <w:rPr>
          <w:rFonts w:ascii="Cambria" w:hAnsi="Cambria"/>
          <w:iCs/>
        </w:rPr>
        <w:t>Kate adds a comma a</w:t>
      </w:r>
      <w:r w:rsidRPr="0002754A">
        <w:rPr>
          <w:rFonts w:ascii="Times New Roman" w:hAnsi="Times New Roman" w:cs="Times New Roman"/>
          <w:iCs/>
        </w:rPr>
        <w:t>ﬅ</w:t>
      </w:r>
      <w:r w:rsidRPr="0002754A">
        <w:rPr>
          <w:rFonts w:ascii="Cambria" w:hAnsi="Cambria"/>
          <w:iCs/>
        </w:rPr>
        <w:t>er “Unfortunately” because a sentence adverb (i.e., an adverb that modiﬁes an entire sentence, not just a single word or phrase) is always followed by a comma. (Chicago does not discuss the punctuation of sentence adverbs as such but recommends a comma to set oﬀ a transitional adverb that eﬀects a distinct break in continuity.) Next, Kate moves “not only”—to yield “cause not only embarrassment but trouble”—because the items being contrasted are “embarrassment” and “trouble.” (Compare: “</w:t>
      </w:r>
      <w:r>
        <w:rPr>
          <w:rFonts w:ascii="Cambria" w:hAnsi="Cambria"/>
          <w:iCs/>
        </w:rPr>
        <w:t>Th</w:t>
      </w:r>
      <w:r w:rsidRPr="0002754A">
        <w:rPr>
          <w:rFonts w:ascii="Cambria" w:hAnsi="Cambria"/>
          <w:iCs/>
        </w:rPr>
        <w:t>ese errors not only cause embarrassment but jeopardize our credibility.” In this example, the items being contrasted are “cause embarrassment” and “jeopardize our credibility,” so “not only” precedes “cause embarrassment.”) Checking DEU again, Kate conﬁrms that “not only . . . but” does not require the addition of “also,” which is considered optional and is frequently omitted. </w:t>
      </w:r>
      <w:proofErr w:type="gramStart"/>
      <w:r w:rsidRPr="0002754A">
        <w:rPr>
          <w:rFonts w:ascii="Cambria" w:hAnsi="Cambria"/>
          <w:iCs/>
        </w:rPr>
        <w:t>So</w:t>
      </w:r>
      <w:proofErr w:type="gramEnd"/>
      <w:r w:rsidRPr="0002754A">
        <w:rPr>
          <w:rFonts w:ascii="Cambria" w:hAnsi="Cambria"/>
          <w:iCs/>
        </w:rPr>
        <w:t xml:space="preserve"> she makes no further changes to the construction. </w:t>
      </w:r>
    </w:p>
    <w:p w14:paraId="3FB58F69" w14:textId="77777777" w:rsidR="0002754A" w:rsidRDefault="0002754A" w:rsidP="00D64E23">
      <w:pPr>
        <w:rPr>
          <w:rFonts w:ascii="Cambria" w:hAnsi="Cambria"/>
          <w:iCs/>
        </w:rPr>
      </w:pPr>
    </w:p>
    <w:p w14:paraId="7393C010" w14:textId="77777777" w:rsidR="0002754A" w:rsidRDefault="0002754A" w:rsidP="00D64E23">
      <w:pPr>
        <w:rPr>
          <w:rFonts w:ascii="Cambria" w:hAnsi="Cambria"/>
          <w:iCs/>
        </w:rPr>
      </w:pPr>
      <w:r>
        <w:rPr>
          <w:rFonts w:ascii="Cambria" w:hAnsi="Cambria"/>
          <w:iCs/>
        </w:rPr>
        <w:t>Th</w:t>
      </w:r>
      <w:r w:rsidRPr="0002754A">
        <w:rPr>
          <w:rFonts w:ascii="Cambria" w:hAnsi="Cambria"/>
          <w:iCs/>
        </w:rPr>
        <w:t>e ﬁ</w:t>
      </w:r>
      <w:r w:rsidRPr="0002754A">
        <w:rPr>
          <w:rFonts w:ascii="Times New Roman" w:hAnsi="Times New Roman" w:cs="Times New Roman"/>
          <w:iCs/>
        </w:rPr>
        <w:t>ﬅ</w:t>
      </w:r>
      <w:r w:rsidRPr="0002754A">
        <w:rPr>
          <w:rFonts w:ascii="Cambria" w:hAnsi="Cambria"/>
          <w:iCs/>
        </w:rPr>
        <w:t xml:space="preserve">h sentence brings Kate to a halt. </w:t>
      </w:r>
    </w:p>
    <w:p w14:paraId="48D0E423" w14:textId="77777777" w:rsidR="0002754A" w:rsidRDefault="0002754A" w:rsidP="00D64E23">
      <w:pPr>
        <w:rPr>
          <w:rFonts w:ascii="Cambria" w:hAnsi="Cambria"/>
          <w:iCs/>
        </w:rPr>
      </w:pPr>
    </w:p>
    <w:p w14:paraId="1FA78041" w14:textId="77EFF5A8" w:rsidR="0002754A" w:rsidRDefault="0002754A" w:rsidP="00D64E23">
      <w:pPr>
        <w:rPr>
          <w:rFonts w:ascii="Cambria" w:hAnsi="Cambria"/>
          <w:iCs/>
        </w:rPr>
      </w:pPr>
      <w:r w:rsidRPr="0002754A">
        <w:rPr>
          <w:rFonts w:ascii="Cambria" w:hAnsi="Cambria"/>
          <w:iCs/>
        </w:rPr>
        <w:t>For example, the wrong numbers for ordering merchandise or misspelled names.</w:t>
      </w:r>
    </w:p>
    <w:p w14:paraId="40270E57" w14:textId="77777777" w:rsidR="0002754A" w:rsidRDefault="0002754A" w:rsidP="00D64E23">
      <w:pPr>
        <w:rPr>
          <w:rFonts w:ascii="Cambria" w:hAnsi="Cambria"/>
          <w:iCs/>
        </w:rPr>
      </w:pPr>
    </w:p>
    <w:p w14:paraId="6E321EDF" w14:textId="5EBAB794" w:rsidR="0002754A" w:rsidRPr="0002754A" w:rsidRDefault="0002754A" w:rsidP="00D64E23">
      <w:pPr>
        <w:rPr>
          <w:rFonts w:ascii="Cambria" w:hAnsi="Cambria"/>
          <w:iCs/>
        </w:rPr>
      </w:pPr>
      <w:r>
        <w:rPr>
          <w:rFonts w:ascii="Cambria" w:hAnsi="Cambria"/>
          <w:iCs/>
        </w:rPr>
        <w:t>Th</w:t>
      </w:r>
      <w:r w:rsidRPr="0002754A">
        <w:rPr>
          <w:rFonts w:ascii="Cambria" w:hAnsi="Cambria"/>
          <w:iCs/>
        </w:rPr>
        <w:t>is is a careless sentence fragment; that is, it is not a fragment serving some rhetorical purpose (which would be ﬁne in the right circumstances; see chapter 4). Kate decides that the least intrusive way to repair the fragment is to change the period before “for example” to a dash. (She turns to Chicago to conﬁrm that either a comma or a dash may precede “for example” when introducing a list, with the dash recommended as pref- erable.) She also changes the order of “wrong numbers for ordering” and “misspelled names” to prevent the misreading of “for ordering merchandise or misspelled names” as one unit of thought. e reordering prevents readers from thinking that one can “order misspelled names.” When Kate is done, the last portion of the text reads: “Unfor- tunately, the remaining 1 percent are o</w:t>
      </w:r>
      <w:r w:rsidRPr="0002754A">
        <w:rPr>
          <w:rFonts w:ascii="Times New Roman" w:hAnsi="Times New Roman" w:cs="Times New Roman"/>
          <w:iCs/>
        </w:rPr>
        <w:t>ﬅ</w:t>
      </w:r>
      <w:r w:rsidRPr="0002754A">
        <w:rPr>
          <w:rFonts w:ascii="Cambria" w:hAnsi="Cambria"/>
          <w:iCs/>
        </w:rPr>
        <w:t>en the mistakes that cause not only embarrass- ment but trouble—for example, misspelled names or the wrong numbers for ordering merchandise.”</w:t>
      </w:r>
    </w:p>
    <w:p w14:paraId="55BAA98B" w14:textId="77777777" w:rsidR="0002754A" w:rsidRDefault="0002754A" w:rsidP="00D64E23">
      <w:pPr>
        <w:rPr>
          <w:rFonts w:ascii="Cambria" w:hAnsi="Cambria"/>
          <w:b/>
          <w:bCs/>
          <w:i/>
        </w:rPr>
      </w:pPr>
    </w:p>
    <w:p w14:paraId="48EE1C6B" w14:textId="77777777" w:rsidR="001C0441" w:rsidRDefault="001C0441" w:rsidP="00D64E23">
      <w:pPr>
        <w:rPr>
          <w:rFonts w:ascii="Cambria" w:hAnsi="Cambria"/>
          <w:b/>
          <w:bCs/>
          <w:i/>
        </w:rPr>
      </w:pPr>
    </w:p>
    <w:p w14:paraId="260CC633" w14:textId="4CF75E6B" w:rsidR="00D64E23" w:rsidRDefault="0009253E" w:rsidP="00D64E23">
      <w:pPr>
        <w:rPr>
          <w:rFonts w:ascii="Cambria" w:hAnsi="Cambria"/>
          <w:b/>
          <w:bCs/>
          <w:i/>
        </w:rPr>
      </w:pPr>
      <w:r>
        <w:rPr>
          <w:rFonts w:ascii="Cambria" w:hAnsi="Cambria"/>
          <w:b/>
          <w:bCs/>
          <w:i/>
        </w:rPr>
        <w:lastRenderedPageBreak/>
        <w:t>Editing</w:t>
      </w:r>
      <w:r w:rsidR="00D64E23">
        <w:rPr>
          <w:rFonts w:ascii="Cambria" w:hAnsi="Cambria"/>
          <w:b/>
          <w:bCs/>
          <w:i/>
        </w:rPr>
        <w:t xml:space="preserve"> Activi</w:t>
      </w:r>
      <w:r>
        <w:rPr>
          <w:rFonts w:ascii="Cambria" w:hAnsi="Cambria"/>
          <w:b/>
          <w:bCs/>
          <w:i/>
        </w:rPr>
        <w:t>ties</w:t>
      </w:r>
    </w:p>
    <w:p w14:paraId="36C5DD37" w14:textId="77777777" w:rsidR="0009253E" w:rsidRDefault="0009253E" w:rsidP="00D64E23">
      <w:pPr>
        <w:rPr>
          <w:rFonts w:ascii="Cambria" w:hAnsi="Cambria"/>
          <w:iCs/>
        </w:rPr>
      </w:pPr>
    </w:p>
    <w:p w14:paraId="73FD39B0" w14:textId="7DE03C28" w:rsidR="00DF512A" w:rsidRDefault="0009253E" w:rsidP="006A427E">
      <w:pPr>
        <w:pStyle w:val="ListParagraph"/>
        <w:numPr>
          <w:ilvl w:val="0"/>
          <w:numId w:val="22"/>
        </w:numPr>
        <w:rPr>
          <w:rFonts w:ascii="Cambria" w:hAnsi="Cambria"/>
          <w:iCs/>
        </w:rPr>
      </w:pPr>
      <w:r w:rsidRPr="001C0441">
        <w:rPr>
          <w:rFonts w:ascii="Cambria" w:hAnsi="Cambria"/>
          <w:iCs/>
        </w:rPr>
        <w:t>First, choose three words you</w:t>
      </w:r>
      <w:r w:rsidR="001C0441" w:rsidRPr="001C0441">
        <w:rPr>
          <w:rFonts w:ascii="Cambria" w:hAnsi="Cambria"/>
          <w:iCs/>
        </w:rPr>
        <w:t>r partner</w:t>
      </w:r>
      <w:r w:rsidRPr="001C0441">
        <w:rPr>
          <w:rFonts w:ascii="Cambria" w:hAnsi="Cambria"/>
          <w:iCs/>
        </w:rPr>
        <w:t xml:space="preserve"> use</w:t>
      </w:r>
      <w:r w:rsidR="001C0441" w:rsidRPr="001C0441">
        <w:rPr>
          <w:rFonts w:ascii="Cambria" w:hAnsi="Cambria"/>
          <w:iCs/>
        </w:rPr>
        <w:t>s</w:t>
      </w:r>
      <w:r w:rsidRPr="001C0441">
        <w:rPr>
          <w:rFonts w:ascii="Cambria" w:hAnsi="Cambria"/>
          <w:iCs/>
        </w:rPr>
        <w:t xml:space="preserve"> in the</w:t>
      </w:r>
      <w:r w:rsidR="001C0441" w:rsidRPr="001C0441">
        <w:rPr>
          <w:rFonts w:ascii="Cambria" w:hAnsi="Cambria"/>
          <w:iCs/>
        </w:rPr>
        <w:t>ir</w:t>
      </w:r>
      <w:r w:rsidRPr="001C0441">
        <w:rPr>
          <w:rFonts w:ascii="Cambria" w:hAnsi="Cambria"/>
          <w:iCs/>
        </w:rPr>
        <w:t xml:space="preserve"> Extended Analysis, preferably words whose meaning you are not entirely sure of</w:t>
      </w:r>
      <w:r w:rsidR="00F0176F" w:rsidRPr="001C0441">
        <w:rPr>
          <w:rFonts w:ascii="Cambria" w:hAnsi="Cambria"/>
          <w:iCs/>
        </w:rPr>
        <w:t xml:space="preserve"> or that might be confusing to readers. Look these words up in </w:t>
      </w:r>
      <w:hyperlink r:id="rId5" w:history="1">
        <w:r w:rsidR="00F0176F" w:rsidRPr="001C0441">
          <w:rPr>
            <w:rStyle w:val="Hyperlink"/>
            <w:rFonts w:ascii="Cambria" w:hAnsi="Cambria"/>
            <w:i/>
          </w:rPr>
          <w:t>Webster’s Dictionary of American Usage</w:t>
        </w:r>
      </w:hyperlink>
      <w:r w:rsidR="001C0441">
        <w:t>.</w:t>
      </w:r>
    </w:p>
    <w:p w14:paraId="665DF437" w14:textId="77777777" w:rsidR="001C0441" w:rsidRPr="001C0441" w:rsidRDefault="001C0441" w:rsidP="001C0441">
      <w:pPr>
        <w:pStyle w:val="ListParagraph"/>
        <w:rPr>
          <w:rFonts w:ascii="Cambria" w:hAnsi="Cambria"/>
          <w:iCs/>
        </w:rPr>
      </w:pPr>
    </w:p>
    <w:p w14:paraId="294FE1B2" w14:textId="33A8E73F" w:rsidR="00F0176F" w:rsidRDefault="00F0176F" w:rsidP="0009253E">
      <w:pPr>
        <w:pStyle w:val="ListParagraph"/>
        <w:numPr>
          <w:ilvl w:val="0"/>
          <w:numId w:val="22"/>
        </w:numPr>
        <w:rPr>
          <w:rFonts w:ascii="Cambria" w:hAnsi="Cambria"/>
          <w:iCs/>
        </w:rPr>
      </w:pPr>
      <w:r>
        <w:rPr>
          <w:rFonts w:ascii="Cambria" w:hAnsi="Cambria"/>
          <w:iCs/>
        </w:rPr>
        <w:t xml:space="preserve">Next, </w:t>
      </w:r>
      <w:r w:rsidR="001C0441">
        <w:rPr>
          <w:rFonts w:ascii="Cambria" w:hAnsi="Cambria"/>
          <w:iCs/>
        </w:rPr>
        <w:t xml:space="preserve">log into your </w:t>
      </w:r>
      <w:r w:rsidR="001C0441">
        <w:rPr>
          <w:rFonts w:ascii="Cambria" w:hAnsi="Cambria"/>
          <w:i/>
        </w:rPr>
        <w:t xml:space="preserve">Chicago Manual of Style </w:t>
      </w:r>
      <w:r w:rsidR="001C0441">
        <w:rPr>
          <w:rFonts w:ascii="Cambria" w:hAnsi="Cambria"/>
          <w:iCs/>
        </w:rPr>
        <w:t>account (</w:t>
      </w:r>
      <w:r>
        <w:rPr>
          <w:rFonts w:ascii="Cambria" w:hAnsi="Cambria"/>
          <w:iCs/>
        </w:rPr>
        <w:t xml:space="preserve">sign up for a free </w:t>
      </w:r>
      <w:hyperlink r:id="rId6" w:history="1">
        <w:r w:rsidRPr="00F0176F">
          <w:rPr>
            <w:rStyle w:val="Hyperlink"/>
            <w:rFonts w:ascii="Cambria" w:hAnsi="Cambria"/>
            <w:iCs/>
          </w:rPr>
          <w:t>30-day trial</w:t>
        </w:r>
      </w:hyperlink>
      <w:r>
        <w:rPr>
          <w:rFonts w:ascii="Cambria" w:hAnsi="Cambria"/>
          <w:iCs/>
        </w:rPr>
        <w:t xml:space="preserve"> </w:t>
      </w:r>
      <w:r w:rsidR="001C0441">
        <w:rPr>
          <w:rFonts w:ascii="Cambria" w:hAnsi="Cambria"/>
          <w:iCs/>
        </w:rPr>
        <w:t xml:space="preserve">if you haven’t done so yet). Go to the </w:t>
      </w:r>
      <w:hyperlink r:id="rId7" w:history="1">
        <w:r w:rsidR="00696D23" w:rsidRPr="00696D23">
          <w:rPr>
            <w:rStyle w:val="Hyperlink"/>
            <w:rFonts w:ascii="Cambria" w:hAnsi="Cambria"/>
            <w:iCs/>
          </w:rPr>
          <w:t>home page</w:t>
        </w:r>
      </w:hyperlink>
      <w:r w:rsidR="00696D23">
        <w:rPr>
          <w:rFonts w:ascii="Cambria" w:hAnsi="Cambria"/>
          <w:iCs/>
        </w:rPr>
        <w:t xml:space="preserve"> and then </w:t>
      </w:r>
      <w:hyperlink r:id="rId8" w:history="1">
        <w:r w:rsidR="00696D23" w:rsidRPr="00696D23">
          <w:rPr>
            <w:rStyle w:val="Hyperlink"/>
            <w:rFonts w:ascii="Cambria" w:hAnsi="Cambria"/>
            <w:iCs/>
          </w:rPr>
          <w:t>contents</w:t>
        </w:r>
      </w:hyperlink>
      <w:r w:rsidR="00696D23">
        <w:rPr>
          <w:rFonts w:ascii="Cambria" w:hAnsi="Cambria"/>
          <w:iCs/>
        </w:rPr>
        <w:t>. In the Style and Usage section, you will see a range of categories (Grammar and Usage, Punctuation, etc.).</w:t>
      </w:r>
      <w:r w:rsidR="00D40F42">
        <w:rPr>
          <w:rFonts w:ascii="Cambria" w:hAnsi="Cambria"/>
          <w:iCs/>
        </w:rPr>
        <w:t xml:space="preserve"> You can also look through the </w:t>
      </w:r>
      <w:hyperlink r:id="rId9" w:history="1">
        <w:r w:rsidR="00D40F42" w:rsidRPr="00D40F42">
          <w:rPr>
            <w:rStyle w:val="Hyperlink"/>
            <w:rFonts w:ascii="Cambria" w:hAnsi="Cambria"/>
            <w:iCs/>
          </w:rPr>
          <w:t>Index</w:t>
        </w:r>
      </w:hyperlink>
      <w:r w:rsidR="00D40F42">
        <w:rPr>
          <w:rFonts w:ascii="Cambria" w:hAnsi="Cambria"/>
          <w:iCs/>
        </w:rPr>
        <w:t xml:space="preserve"> to find relevant content.</w:t>
      </w:r>
    </w:p>
    <w:p w14:paraId="5F07D6D1" w14:textId="77777777" w:rsidR="00D40F42" w:rsidRDefault="00D40F42" w:rsidP="00D40F42">
      <w:pPr>
        <w:rPr>
          <w:rFonts w:ascii="Cambria" w:hAnsi="Cambria"/>
          <w:iCs/>
        </w:rPr>
      </w:pPr>
    </w:p>
    <w:p w14:paraId="144C1122" w14:textId="505B014B" w:rsidR="00D40F42" w:rsidRPr="00D40F42" w:rsidRDefault="00D40F42" w:rsidP="00D40F42">
      <w:pPr>
        <w:ind w:left="720"/>
        <w:rPr>
          <w:rFonts w:ascii="Cambria" w:hAnsi="Cambria"/>
          <w:iCs/>
        </w:rPr>
      </w:pPr>
      <w:r>
        <w:rPr>
          <w:rFonts w:ascii="Cambria" w:hAnsi="Cambria"/>
          <w:iCs/>
        </w:rPr>
        <w:t xml:space="preserve">Now, find five instances of grammar, style, and usage from your </w:t>
      </w:r>
      <w:r w:rsidR="001C0441">
        <w:rPr>
          <w:rFonts w:ascii="Cambria" w:hAnsi="Cambria"/>
          <w:iCs/>
        </w:rPr>
        <w:t xml:space="preserve">partner’s </w:t>
      </w:r>
      <w:r>
        <w:rPr>
          <w:rFonts w:ascii="Cambria" w:hAnsi="Cambria"/>
          <w:iCs/>
        </w:rPr>
        <w:t xml:space="preserve">Extended Analysis that you can look up in the manual. Try to find instances where you’re not sure if your grammar and usage is correct. </w:t>
      </w:r>
      <w:r w:rsidR="00DF512A">
        <w:rPr>
          <w:rFonts w:ascii="Cambria" w:hAnsi="Cambria"/>
          <w:iCs/>
        </w:rPr>
        <w:t xml:space="preserve">Alternately, browse the manual until you find entries that are relevant to </w:t>
      </w:r>
      <w:r w:rsidR="001C0441">
        <w:rPr>
          <w:rFonts w:ascii="Cambria" w:hAnsi="Cambria"/>
          <w:iCs/>
        </w:rPr>
        <w:t>the</w:t>
      </w:r>
      <w:r w:rsidR="00DF512A">
        <w:rPr>
          <w:rFonts w:ascii="Cambria" w:hAnsi="Cambria"/>
          <w:iCs/>
        </w:rPr>
        <w:t xml:space="preserve"> writing. The goal is to check to make sure </w:t>
      </w:r>
      <w:r w:rsidR="001C0441">
        <w:rPr>
          <w:rFonts w:ascii="Cambria" w:hAnsi="Cambria"/>
          <w:iCs/>
        </w:rPr>
        <w:t xml:space="preserve">they </w:t>
      </w:r>
      <w:r w:rsidR="00DF512A">
        <w:rPr>
          <w:rFonts w:ascii="Cambria" w:hAnsi="Cambria"/>
          <w:iCs/>
        </w:rPr>
        <w:t>are following the appropriate rules and guidelines in Chicago style.</w:t>
      </w:r>
    </w:p>
    <w:sectPr w:rsidR="00D40F42" w:rsidRPr="00D40F42"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438A0"/>
    <w:multiLevelType w:val="hybridMultilevel"/>
    <w:tmpl w:val="30D48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76586"/>
    <w:multiLevelType w:val="hybridMultilevel"/>
    <w:tmpl w:val="3C7CB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375DEA"/>
    <w:multiLevelType w:val="hybridMultilevel"/>
    <w:tmpl w:val="48845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EAC64CB"/>
    <w:multiLevelType w:val="multilevel"/>
    <w:tmpl w:val="323A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965493C"/>
    <w:multiLevelType w:val="hybridMultilevel"/>
    <w:tmpl w:val="1FAC6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541958"/>
    <w:multiLevelType w:val="hybridMultilevel"/>
    <w:tmpl w:val="1B2A8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9A8218A"/>
    <w:multiLevelType w:val="hybridMultilevel"/>
    <w:tmpl w:val="C15EE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51DE3"/>
    <w:multiLevelType w:val="hybridMultilevel"/>
    <w:tmpl w:val="AD761C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862805"/>
    <w:multiLevelType w:val="hybridMultilevel"/>
    <w:tmpl w:val="FBC2F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3701DA"/>
    <w:multiLevelType w:val="hybridMultilevel"/>
    <w:tmpl w:val="4F7A6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41C7D14"/>
    <w:multiLevelType w:val="hybridMultilevel"/>
    <w:tmpl w:val="78B2D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5B83C10"/>
    <w:multiLevelType w:val="hybridMultilevel"/>
    <w:tmpl w:val="9210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2604B76"/>
    <w:multiLevelType w:val="hybridMultilevel"/>
    <w:tmpl w:val="4C223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A969BC"/>
    <w:multiLevelType w:val="hybridMultilevel"/>
    <w:tmpl w:val="1A0CB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53B5E9A"/>
    <w:multiLevelType w:val="multilevel"/>
    <w:tmpl w:val="203A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56243B"/>
    <w:multiLevelType w:val="multilevel"/>
    <w:tmpl w:val="4CEA0816"/>
    <w:lvl w:ilvl="0">
      <w:start w:val="1"/>
      <w:numFmt w:val="decimal"/>
      <w:lvlText w:val="%1."/>
      <w:lvlJc w:val="left"/>
      <w:pPr>
        <w:tabs>
          <w:tab w:val="num" w:pos="-1800"/>
        </w:tabs>
        <w:ind w:left="-1800" w:hanging="360"/>
      </w:pPr>
    </w:lvl>
    <w:lvl w:ilvl="1">
      <w:start w:val="1"/>
      <w:numFmt w:val="lowerLetter"/>
      <w:lvlText w:val="%2."/>
      <w:lvlJc w:val="left"/>
      <w:pPr>
        <w:tabs>
          <w:tab w:val="num" w:pos="-1080"/>
        </w:tabs>
        <w:ind w:left="-1080" w:hanging="360"/>
      </w:pPr>
    </w:lvl>
    <w:lvl w:ilvl="2" w:tentative="1">
      <w:start w:val="1"/>
      <w:numFmt w:val="decimal"/>
      <w:lvlText w:val="%3."/>
      <w:lvlJc w:val="left"/>
      <w:pPr>
        <w:tabs>
          <w:tab w:val="num" w:pos="-360"/>
        </w:tabs>
        <w:ind w:left="-360" w:hanging="360"/>
      </w:pPr>
    </w:lvl>
    <w:lvl w:ilvl="3" w:tentative="1">
      <w:start w:val="1"/>
      <w:numFmt w:val="decimal"/>
      <w:lvlText w:val="%4."/>
      <w:lvlJc w:val="left"/>
      <w:pPr>
        <w:tabs>
          <w:tab w:val="num" w:pos="360"/>
        </w:tabs>
        <w:ind w:left="360" w:hanging="360"/>
      </w:pPr>
    </w:lvl>
    <w:lvl w:ilvl="4" w:tentative="1">
      <w:start w:val="1"/>
      <w:numFmt w:val="decimal"/>
      <w:lvlText w:val="%5."/>
      <w:lvlJc w:val="left"/>
      <w:pPr>
        <w:tabs>
          <w:tab w:val="num" w:pos="1080"/>
        </w:tabs>
        <w:ind w:left="1080" w:hanging="360"/>
      </w:pPr>
    </w:lvl>
    <w:lvl w:ilvl="5" w:tentative="1">
      <w:start w:val="1"/>
      <w:numFmt w:val="decimal"/>
      <w:lvlText w:val="%6."/>
      <w:lvlJc w:val="left"/>
      <w:pPr>
        <w:tabs>
          <w:tab w:val="num" w:pos="1800"/>
        </w:tabs>
        <w:ind w:left="1800" w:hanging="360"/>
      </w:pPr>
    </w:lvl>
    <w:lvl w:ilvl="6" w:tentative="1">
      <w:start w:val="1"/>
      <w:numFmt w:val="decimal"/>
      <w:lvlText w:val="%7."/>
      <w:lvlJc w:val="left"/>
      <w:pPr>
        <w:tabs>
          <w:tab w:val="num" w:pos="2520"/>
        </w:tabs>
        <w:ind w:left="2520" w:hanging="360"/>
      </w:pPr>
    </w:lvl>
    <w:lvl w:ilvl="7" w:tentative="1">
      <w:start w:val="1"/>
      <w:numFmt w:val="decimal"/>
      <w:lvlText w:val="%8."/>
      <w:lvlJc w:val="left"/>
      <w:pPr>
        <w:tabs>
          <w:tab w:val="num" w:pos="3240"/>
        </w:tabs>
        <w:ind w:left="3240" w:hanging="360"/>
      </w:pPr>
    </w:lvl>
    <w:lvl w:ilvl="8" w:tentative="1">
      <w:start w:val="1"/>
      <w:numFmt w:val="decimal"/>
      <w:lvlText w:val="%9."/>
      <w:lvlJc w:val="left"/>
      <w:pPr>
        <w:tabs>
          <w:tab w:val="num" w:pos="3960"/>
        </w:tabs>
        <w:ind w:left="3960" w:hanging="360"/>
      </w:pPr>
    </w:lvl>
  </w:abstractNum>
  <w:abstractNum w:abstractNumId="19" w15:restartNumberingAfterBreak="0">
    <w:nsid w:val="699C461B"/>
    <w:multiLevelType w:val="hybridMultilevel"/>
    <w:tmpl w:val="95601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295AC6"/>
    <w:multiLevelType w:val="hybridMultilevel"/>
    <w:tmpl w:val="3F46C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876786">
    <w:abstractNumId w:val="10"/>
  </w:num>
  <w:num w:numId="2" w16cid:durableId="431777109">
    <w:abstractNumId w:val="20"/>
  </w:num>
  <w:num w:numId="3" w16cid:durableId="1934702240">
    <w:abstractNumId w:val="1"/>
  </w:num>
  <w:num w:numId="4" w16cid:durableId="1107701653">
    <w:abstractNumId w:val="7"/>
  </w:num>
  <w:num w:numId="5" w16cid:durableId="1529676801">
    <w:abstractNumId w:val="0"/>
  </w:num>
  <w:num w:numId="6" w16cid:durableId="1914970210">
    <w:abstractNumId w:val="9"/>
  </w:num>
  <w:num w:numId="7" w16cid:durableId="755201310">
    <w:abstractNumId w:val="14"/>
  </w:num>
  <w:num w:numId="8" w16cid:durableId="1145858344">
    <w:abstractNumId w:val="12"/>
  </w:num>
  <w:num w:numId="9" w16cid:durableId="2036223652">
    <w:abstractNumId w:val="5"/>
  </w:num>
  <w:num w:numId="10" w16cid:durableId="616836274">
    <w:abstractNumId w:val="3"/>
  </w:num>
  <w:num w:numId="11" w16cid:durableId="112599854">
    <w:abstractNumId w:val="13"/>
  </w:num>
  <w:num w:numId="12" w16cid:durableId="128595550">
    <w:abstractNumId w:val="16"/>
  </w:num>
  <w:num w:numId="13" w16cid:durableId="1378624765">
    <w:abstractNumId w:val="18"/>
  </w:num>
  <w:num w:numId="14" w16cid:durableId="241642933">
    <w:abstractNumId w:val="18"/>
    <w:lvlOverride w:ilvl="1">
      <w:startOverride w:val="1"/>
    </w:lvlOverride>
  </w:num>
  <w:num w:numId="15" w16cid:durableId="957953342">
    <w:abstractNumId w:val="4"/>
  </w:num>
  <w:num w:numId="16" w16cid:durableId="654914187">
    <w:abstractNumId w:val="17"/>
  </w:num>
  <w:num w:numId="17" w16cid:durableId="1279872789">
    <w:abstractNumId w:val="6"/>
  </w:num>
  <w:num w:numId="18" w16cid:durableId="328102019">
    <w:abstractNumId w:val="2"/>
  </w:num>
  <w:num w:numId="19" w16cid:durableId="2021542197">
    <w:abstractNumId w:val="8"/>
  </w:num>
  <w:num w:numId="20" w16cid:durableId="799878482">
    <w:abstractNumId w:val="19"/>
  </w:num>
  <w:num w:numId="21" w16cid:durableId="1047949591">
    <w:abstractNumId w:val="11"/>
  </w:num>
  <w:num w:numId="22" w16cid:durableId="23497317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421"/>
    <w:rsid w:val="00006E9C"/>
    <w:rsid w:val="0002754A"/>
    <w:rsid w:val="000517DC"/>
    <w:rsid w:val="000577F6"/>
    <w:rsid w:val="00065771"/>
    <w:rsid w:val="0009253E"/>
    <w:rsid w:val="000A6EF0"/>
    <w:rsid w:val="000B0B47"/>
    <w:rsid w:val="00146EDA"/>
    <w:rsid w:val="00197E12"/>
    <w:rsid w:val="001C0441"/>
    <w:rsid w:val="001C323B"/>
    <w:rsid w:val="001C42EC"/>
    <w:rsid w:val="00202E47"/>
    <w:rsid w:val="00204C7A"/>
    <w:rsid w:val="002603EA"/>
    <w:rsid w:val="00295166"/>
    <w:rsid w:val="002F4121"/>
    <w:rsid w:val="00326F75"/>
    <w:rsid w:val="003E0910"/>
    <w:rsid w:val="003F6FC5"/>
    <w:rsid w:val="00416A3A"/>
    <w:rsid w:val="00444646"/>
    <w:rsid w:val="00474842"/>
    <w:rsid w:val="004914D1"/>
    <w:rsid w:val="00491622"/>
    <w:rsid w:val="004D1B78"/>
    <w:rsid w:val="004D2A0E"/>
    <w:rsid w:val="004D5961"/>
    <w:rsid w:val="004E1F08"/>
    <w:rsid w:val="004E7F7C"/>
    <w:rsid w:val="004F3771"/>
    <w:rsid w:val="005256AE"/>
    <w:rsid w:val="005976F1"/>
    <w:rsid w:val="005F1CF8"/>
    <w:rsid w:val="006661B9"/>
    <w:rsid w:val="00696D23"/>
    <w:rsid w:val="006F72D7"/>
    <w:rsid w:val="006F746A"/>
    <w:rsid w:val="00712EC9"/>
    <w:rsid w:val="007218EE"/>
    <w:rsid w:val="00736264"/>
    <w:rsid w:val="00795E1F"/>
    <w:rsid w:val="007B14B2"/>
    <w:rsid w:val="007B27E0"/>
    <w:rsid w:val="00840906"/>
    <w:rsid w:val="0087665C"/>
    <w:rsid w:val="00894D91"/>
    <w:rsid w:val="00895C6E"/>
    <w:rsid w:val="008B4A52"/>
    <w:rsid w:val="008B5D9D"/>
    <w:rsid w:val="008E0239"/>
    <w:rsid w:val="00975C70"/>
    <w:rsid w:val="00980CBD"/>
    <w:rsid w:val="009B7FBB"/>
    <w:rsid w:val="009D3A0D"/>
    <w:rsid w:val="00A51C3C"/>
    <w:rsid w:val="00A51DB6"/>
    <w:rsid w:val="00A86BDF"/>
    <w:rsid w:val="00AA4236"/>
    <w:rsid w:val="00AC0341"/>
    <w:rsid w:val="00B05332"/>
    <w:rsid w:val="00B21615"/>
    <w:rsid w:val="00B7275D"/>
    <w:rsid w:val="00BA58A1"/>
    <w:rsid w:val="00BC1227"/>
    <w:rsid w:val="00BD4BE9"/>
    <w:rsid w:val="00BF43A3"/>
    <w:rsid w:val="00C16877"/>
    <w:rsid w:val="00C62421"/>
    <w:rsid w:val="00C82B20"/>
    <w:rsid w:val="00CA53D2"/>
    <w:rsid w:val="00CD3E76"/>
    <w:rsid w:val="00D01D77"/>
    <w:rsid w:val="00D23124"/>
    <w:rsid w:val="00D272A4"/>
    <w:rsid w:val="00D40F42"/>
    <w:rsid w:val="00D64E23"/>
    <w:rsid w:val="00D72FE9"/>
    <w:rsid w:val="00DA494B"/>
    <w:rsid w:val="00DB41F9"/>
    <w:rsid w:val="00DB54C8"/>
    <w:rsid w:val="00DF512A"/>
    <w:rsid w:val="00E06E2A"/>
    <w:rsid w:val="00E240E5"/>
    <w:rsid w:val="00E30121"/>
    <w:rsid w:val="00E321C7"/>
    <w:rsid w:val="00E96D6D"/>
    <w:rsid w:val="00EF7243"/>
    <w:rsid w:val="00F0176F"/>
    <w:rsid w:val="00F0682B"/>
    <w:rsid w:val="00F126DD"/>
    <w:rsid w:val="00F1341F"/>
    <w:rsid w:val="00F31AF5"/>
    <w:rsid w:val="00F34023"/>
    <w:rsid w:val="00F72DFE"/>
    <w:rsid w:val="00FD5F8D"/>
    <w:rsid w:val="00FE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AB7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421"/>
    <w:pPr>
      <w:ind w:left="720"/>
      <w:contextualSpacing/>
    </w:pPr>
  </w:style>
  <w:style w:type="character" w:styleId="Hyperlink">
    <w:name w:val="Hyperlink"/>
    <w:basedOn w:val="DefaultParagraphFont"/>
    <w:uiPriority w:val="99"/>
    <w:unhideWhenUsed/>
    <w:rsid w:val="00FE343A"/>
    <w:rPr>
      <w:color w:val="0563C1" w:themeColor="hyperlink"/>
      <w:u w:val="single"/>
    </w:rPr>
  </w:style>
  <w:style w:type="character" w:styleId="FollowedHyperlink">
    <w:name w:val="FollowedHyperlink"/>
    <w:basedOn w:val="DefaultParagraphFont"/>
    <w:uiPriority w:val="99"/>
    <w:semiHidden/>
    <w:unhideWhenUsed/>
    <w:rsid w:val="00BF43A3"/>
    <w:rPr>
      <w:color w:val="954F72" w:themeColor="followedHyperlink"/>
      <w:u w:val="single"/>
    </w:rPr>
  </w:style>
  <w:style w:type="paragraph" w:styleId="NormalWeb">
    <w:name w:val="Normal (Web)"/>
    <w:basedOn w:val="Normal"/>
    <w:uiPriority w:val="99"/>
    <w:semiHidden/>
    <w:unhideWhenUsed/>
    <w:rsid w:val="00065771"/>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65771"/>
    <w:rPr>
      <w:i/>
      <w:iCs/>
    </w:rPr>
  </w:style>
  <w:style w:type="character" w:styleId="UnresolvedMention">
    <w:name w:val="Unresolved Mention"/>
    <w:basedOn w:val="DefaultParagraphFont"/>
    <w:uiPriority w:val="99"/>
    <w:rsid w:val="00E06E2A"/>
    <w:rPr>
      <w:color w:val="605E5C"/>
      <w:shd w:val="clear" w:color="auto" w:fill="E1DFDD"/>
    </w:rPr>
  </w:style>
  <w:style w:type="paragraph" w:customStyle="1" w:styleId="custom-paragraph">
    <w:name w:val="custom-paragraph"/>
    <w:link w:val="custom-paragraphCar"/>
    <w:uiPriority w:val="99"/>
    <w:unhideWhenUsed/>
    <w:rsid w:val="003F6FC5"/>
    <w:pPr>
      <w:ind w:left="1000" w:hanging="750"/>
    </w:pPr>
    <w:rPr>
      <w:rFonts w:asciiTheme="minorHAnsi" w:eastAsiaTheme="minorEastAsia" w:hAnsiTheme="minorHAnsi"/>
      <w:sz w:val="20"/>
      <w:szCs w:val="22"/>
    </w:rPr>
  </w:style>
  <w:style w:type="character" w:customStyle="1" w:styleId="custom-paragraphCar">
    <w:name w:val="custom-paragraphCar"/>
    <w:link w:val="custom-paragraph"/>
    <w:uiPriority w:val="99"/>
    <w:unhideWhenUsed/>
    <w:rsid w:val="003F6FC5"/>
    <w:rPr>
      <w:rFonts w:asciiTheme="minorHAnsi" w:eastAsiaTheme="minorEastAsia" w:hAnsiTheme="minorHAnsi"/>
      <w:sz w:val="20"/>
      <w:szCs w:val="22"/>
    </w:rPr>
  </w:style>
  <w:style w:type="character" w:customStyle="1" w:styleId="elementtoproof">
    <w:name w:val="elementtoproof"/>
    <w:basedOn w:val="DefaultParagraphFont"/>
    <w:rsid w:val="00C16877"/>
  </w:style>
  <w:style w:type="character" w:customStyle="1" w:styleId="apple-converted-space">
    <w:name w:val="apple-converted-space"/>
    <w:basedOn w:val="DefaultParagraphFont"/>
    <w:rsid w:val="00C16877"/>
  </w:style>
  <w:style w:type="character" w:styleId="Strong">
    <w:name w:val="Strong"/>
    <w:basedOn w:val="DefaultParagraphFont"/>
    <w:uiPriority w:val="22"/>
    <w:qFormat/>
    <w:rsid w:val="004446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7141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icagomanualofstyle.org/book/ed18/frontmatter/toc.html" TargetMode="External"/><Relationship Id="rId3" Type="http://schemas.openxmlformats.org/officeDocument/2006/relationships/settings" Target="settings.xml"/><Relationship Id="rId7" Type="http://schemas.openxmlformats.org/officeDocument/2006/relationships/hyperlink" Target="https://www.chicagomanualofstyle.org/hom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ess-booksweb.uchicago.edu/MOSSSF/FreeTrial.aspx" TargetMode="External"/><Relationship Id="rId11" Type="http://schemas.openxmlformats.org/officeDocument/2006/relationships/theme" Target="theme/theme1.xml"/><Relationship Id="rId5" Type="http://schemas.openxmlformats.org/officeDocument/2006/relationships/hyperlink" Target="https://archive.org/details/webstersdictionaryofenglishusage1989/mode/2up"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hicagomanualofstyle.org/book/ed18/backmatter/index/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2</cp:revision>
  <cp:lastPrinted>2026-03-30T15:02:00Z</cp:lastPrinted>
  <dcterms:created xsi:type="dcterms:W3CDTF">2026-04-22T19:51:00Z</dcterms:created>
  <dcterms:modified xsi:type="dcterms:W3CDTF">2026-04-22T19:51:00Z</dcterms:modified>
</cp:coreProperties>
</file>